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lineRule="auto" w:line="240" w:before="69" w:after="0"/>
        <w:ind w:hanging="0" w:star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Shadow Brook Homeowners’ Association</w:t>
      </w:r>
    </w:p>
    <w:p>
      <w:pPr>
        <w:pStyle w:val="Heading1"/>
        <w:numPr>
          <w:ilvl w:val="0"/>
          <w:numId w:val="1"/>
        </w:numPr>
        <w:bidi w:val="0"/>
        <w:spacing w:lineRule="auto" w:line="480" w:before="69" w:after="0"/>
        <w:ind w:hanging="0" w:start="0"/>
        <w:jc w:val="center"/>
        <w:rPr/>
      </w:pPr>
      <w:r>
        <w:rPr>
          <w:rFonts w:ascii="Times New Roman" w:hAnsi="Times New Roman"/>
          <w:sz w:val="32"/>
          <w:szCs w:val="32"/>
        </w:rPr>
        <w:t>Notice of Nominating Procedure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This is the official notice for the Nominating Procedure and Call for Candidates. The candidate qualifications are as follows: 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A Candidate shall be disqualified for not being a Member of the Association at the time of the nomination [as validated by Shadow Brook system of Record – QuickBooks], subject to the following: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087" w:leader="none"/>
        </w:tabs>
        <w:bidi w:val="0"/>
        <w:ind w:hanging="0" w:start="709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A developer is not restricted from making a nomination of a nonmember candidate consistent with the voting power of the developer as set forth in the regulations of the Department of Real Estate (DRE) and the Association’s governing documents.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087" w:leader="none"/>
        </w:tabs>
        <w:bidi w:val="0"/>
        <w:ind w:hanging="0" w:start="709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If title to a separate interest parcel is held by a legal entity that is not a natural person, the governing authority of that legal entity shall have the power to appoint a natural person to be a Member. The natural person appointed as Member must be a trustee, director, shareholder, or partner of the legal entity that holds title to the separate interest parcel. 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A Candidate shall be disqualified if any of the following apply: 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The Candidate is not current in the payment of regular or special assessments, subject to validation, except if: 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The Candidate has paid the regular or special assessment under protest.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The Candidate has entered into a payment plan for the delinquent regular or special assessments. 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The Candidate, if elected, would be serving on the Board at the same time as another person who holds a joint ownership interest in the same separate interest parcel as the Candidate, and the other person is either properly nominated for the current election or an incumbent Director. 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The Candidate discloses, or the Association is aware or becomes aware of, a past criminal conviction that would, if the person was elected, either prevent the Association from purchasing the fidelity bond coverage required by California Civil Code § 5806 or result in the termination of the Association’s existing fidelity bond coverage. </w:t>
      </w:r>
    </w:p>
    <w:p>
      <w:pPr>
        <w:pStyle w:val="BodyText"/>
        <w:numPr>
          <w:ilvl w:val="0"/>
          <w:numId w:val="2"/>
        </w:numPr>
        <w:bidi w:val="0"/>
        <w:spacing w:lineRule="auto" w:line="276" w:before="0" w:after="140"/>
        <w:ind w:hanging="360" w:start="72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A Candidate shall not be disqualified under the following circumstances: </w:t>
      </w:r>
    </w:p>
    <w:p>
      <w:pPr>
        <w:pStyle w:val="BodyText"/>
        <w:numPr>
          <w:ilvl w:val="1"/>
          <w:numId w:val="2"/>
        </w:numPr>
        <w:bidi w:val="0"/>
        <w:spacing w:lineRule="auto" w:line="276" w:before="0" w:after="140"/>
        <w:ind w:hanging="360" w:start="108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For nonpayment of fines, fines are renamed as assessments, collection charges, late charges, or costs levied by a third party. </w:t>
      </w:r>
    </w:p>
    <w:p>
      <w:pPr>
        <w:pStyle w:val="BodyText"/>
        <w:numPr>
          <w:ilvl w:val="1"/>
          <w:numId w:val="2"/>
        </w:numPr>
        <w:bidi w:val="0"/>
        <w:spacing w:lineRule="auto" w:line="276" w:before="0" w:after="140"/>
        <w:ind w:hanging="360" w:start="108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If the Nominee has not been provided the opportunity to engage in internal dispute resolution pursuant to California Civil Code §§ 5900-5920. 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Please complete the form on the reverse side to self-nominate. All nominations must be postmarked by </w:t>
      </w:r>
      <w:r>
        <w:rPr>
          <w:rFonts w:ascii="Arial" w:hAnsi="Arial"/>
          <w:sz w:val="22"/>
          <w:szCs w:val="22"/>
          <w:shd w:fill="FFFFFF" w:val="clear"/>
        </w:rPr>
        <w:t>Novem</w:t>
      </w:r>
      <w:r>
        <w:rPr>
          <w:rFonts w:ascii="Arial" w:hAnsi="Arial"/>
          <w:sz w:val="22"/>
          <w:szCs w:val="22"/>
          <w:shd w:fill="FFFFFF" w:val="clear"/>
        </w:rPr>
        <w:t>ber 2</w:t>
      </w:r>
      <w:r>
        <w:rPr>
          <w:rFonts w:ascii="Arial" w:hAnsi="Arial"/>
          <w:sz w:val="22"/>
          <w:szCs w:val="22"/>
          <w:shd w:fill="FFFFFF" w:val="clear"/>
        </w:rPr>
        <w:t>5</w:t>
      </w:r>
      <w:r>
        <w:rPr>
          <w:rFonts w:ascii="Arial" w:hAnsi="Arial"/>
          <w:sz w:val="22"/>
          <w:szCs w:val="22"/>
          <w:shd w:fill="FFFFFF" w:val="clear"/>
        </w:rPr>
        <w:t xml:space="preserve">, 2024, and mailed to the following address: 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Shadow Brook HOA and Swim Club 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P.O. Box 20271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>San Jose, CA 95160</w:t>
      </w:r>
      <w:r>
        <w:br w:type="page"/>
      </w:r>
    </w:p>
    <w:p>
      <w:pPr>
        <w:pStyle w:val="Subtitle"/>
        <w:bidi w:val="0"/>
        <w:spacing w:before="0" w:after="120"/>
        <w:rPr>
          <w:b/>
          <w:bCs/>
        </w:rPr>
      </w:pPr>
      <w:r>
        <w:rPr>
          <w:b/>
          <w:bCs/>
        </w:rPr>
        <w:t>Shadow Brook Homeowners’ Association 2024</w:t>
      </w:r>
    </w:p>
    <w:p>
      <w:pPr>
        <w:pStyle w:val="Subtitle"/>
        <w:bidi w:val="0"/>
        <w:rPr>
          <w:b/>
          <w:bCs/>
        </w:rPr>
      </w:pPr>
      <w:r>
        <w:rPr>
          <w:b/>
          <w:bCs/>
        </w:rPr>
        <w:t>Candidate Nomination Form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t>Full name of Candidate: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br/>
        <w:t>Phone number of Candidate: ( )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br/>
        <w:t>Email address of Candidate: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br/>
        <w:t xml:space="preserve">Property address within Shadow Brook HOA (HOA Property of  Record): 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t>Preferred mailing address (if different from above):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t>Candidate introduction/bio to be provided with election Ballots:</w:t>
      </w:r>
    </w:p>
    <w:p>
      <w:pPr>
        <w:pStyle w:val="BodyText"/>
        <w:bidi w:val="0"/>
        <w:ind w:hanging="0" w:start="0" w:end="0"/>
        <w:jc w:val="start"/>
        <w:rPr/>
      </w:pPr>
      <w:r>
        <w:rPr>
          <w:rFonts w:ascii="Arial" w:hAnsi="Arial"/>
          <w:sz w:val="28"/>
          <w:szCs w:val="28"/>
          <w:shd w:fill="FFFFFF" w:val="clear"/>
        </w:rPr>
        <w:t xml:space="preserve">● </w:t>
      </w:r>
      <w:r>
        <w:rPr>
          <w:rFonts w:ascii="Arial" w:hAnsi="Arial"/>
          <w:sz w:val="28"/>
          <w:szCs w:val="28"/>
          <w:shd w:fill="FFFFFF" w:val="clear"/>
        </w:rPr>
        <w:t xml:space="preserve">Bios can be emailed to </w:t>
      </w:r>
      <w:hyperlink r:id="rId2">
        <w:r>
          <w:rPr>
            <w:rStyle w:val="Hyperlink"/>
            <w:rFonts w:ascii="Arial" w:hAnsi="Arial"/>
            <w:sz w:val="28"/>
            <w:szCs w:val="28"/>
            <w:shd w:fill="FFFFFF" w:val="clear"/>
          </w:rPr>
          <w:t>elections@shadowbrook.org</w:t>
        </w:r>
      </w:hyperlink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  <w:t xml:space="preserve">● </w:t>
      </w:r>
      <w:r>
        <w:rPr>
          <w:rFonts w:ascii="Arial" w:hAnsi="Arial"/>
          <w:sz w:val="28"/>
          <w:szCs w:val="28"/>
          <w:shd w:fill="FFFFFF" w:val="clear"/>
        </w:rPr>
        <w:t>Please limit bios to 200 words, due to space constraints</w:t>
      </w:r>
    </w:p>
    <w:p>
      <w:pPr>
        <w:pStyle w:val="BodyText"/>
        <w:bidi w:val="0"/>
        <w:ind w:hanging="0" w:start="0" w:end="0"/>
        <w:jc w:val="start"/>
        <w:rPr>
          <w:rFonts w:ascii="Arial" w:hAnsi="Arial"/>
          <w:sz w:val="28"/>
          <w:szCs w:val="28"/>
          <w:shd w:fill="FFFFFF" w:val="clear"/>
        </w:rPr>
      </w:pPr>
      <w:r>
        <w:rPr>
          <w:rFonts w:ascii="Arial" w:hAnsi="Arial"/>
          <w:sz w:val="28"/>
          <w:szCs w:val="28"/>
          <w:shd w:fill="FFFFFF" w:val="clear"/>
        </w:rPr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sectPr>
      <w:type w:val="nextPage"/>
      <w:pgSz w:w="12240" w:h="15840"/>
      <w:pgMar w:left="1134" w:right="1134" w:gutter="0" w:header="0" w:top="756" w:footer="0" w:bottom="95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lowerRoman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Tahoma"/>
        <w:kern w:val="2"/>
        <w:sz w:val="24"/>
        <w:szCs w:val="24"/>
        <w:lang w:val="en-US" w:eastAsia="zh-CN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ongti SC" w:cs="Tahoma"/>
      <w:color w:val="auto"/>
      <w:kern w:val="2"/>
      <w:sz w:val="24"/>
      <w:szCs w:val="24"/>
      <w:lang w:val="en-US" w:eastAsia="zh-CN" w:bidi="fa-IR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ctions@shadowbrook.org?subject=Candidate Bi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LibreOffice/7.6.2.1$MacOSX_X86_64 LibreOffice_project/56f7684011345957bbf33a7ee678afaf4d2ba333</Application>
  <AppVersion>15.0000</AppVersion>
  <Pages>2</Pages>
  <Words>485</Words>
  <Characters>2531</Characters>
  <CharactersWithSpaces>2996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2024-08-15T12:17:05Z</dcterms:created>
  <dc:creator>Koorosh Vakhshoori</dc:creator>
  <dc:description/>
  <dc:language>en-US</dc:language>
  <cp:lastModifiedBy>Koorosh Vakhshoori</cp:lastModifiedBy>
  <dcterms:modified xsi:type="dcterms:W3CDTF">2024-10-14T13:58:43Z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